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правила и нормы общения, требования к речевому поведению в различных коммуникативно-речевых ситуациях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уметь реализовывать эффективную межличностную коммуникацию в устной и письменной форме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владеть  приемами осуществления эффективного речевого воздействия в педагогическом общении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условия эффективного речевого взаимодействия, свойства и разновидности диалога-обсуждения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речевого взаимодействия в группе, разновидности коммуникативных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организовывать взаимодействие в группе (определять общие цели, распределять роли и т.д.)</w:t>
            </w:r>
          </w:p>
        </w:tc>
      </w:tr>
      <w:tr>
        <w:trPr>
          <w:trHeight w:hRule="exact" w:val="577.5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уметь понимать позицию собеседника, различать в его речи мнение, доказательства, факты, гипотезы, аксиомы, теории и пр.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7.4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уметь критически относиться к собственному мнению, признавать ошибочность собственного мнения и корректировать его</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УК-3.14 владеть ценностями и нормами речевого поведения в процессе группового общения (культурой группового общения)</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УК-3.15 владеть приемами гармонизации диалога в ходе группового обсуждения</w:t>
            </w:r>
          </w:p>
        </w:tc>
      </w:tr>
      <w:tr>
        <w:trPr>
          <w:trHeight w:hRule="exact" w:val="277.83"/>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основные нормы русского языка в области устной и письменной речи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знать основные особенности слушания, говорения, чтения и письма как видов речевой деятельности; основные модели речевого поведения</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знать основы речевых жанров актуальных для учебно-научного общения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знать сущность речевого воздействия, его виды, формы и средства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знать основные средства создания вербальных и невербальных текстов в различных ситуациях личного и профессионально значимого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УК-4.7 уметь реализовывать различные виды речевой деятельности в учебно-научном общении на русском языке</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УК-4.9 уметь осуществлять эффективную межличностную коммуникацию в устной и письменной форме на русском языке</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УК-4.11 уметь создавать и редактировать тексты основных жанров в деловой речи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УК-4.12 владеть различными видами и приемами слушания, говорения, письма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УК-4.14 владеть приемами создания устных и письменных текстов различных жанров в процессе учебно-научного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УК-4.15 владеть мастерством публичных выступлений в учебно-научных ситуациях общения</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УК-4.16 владеть способами решения коммуникативных и речевых задач в конкретной ситуации общения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УК-4.17 владеть техниками и приемами коммуникации в условиях межкультурного разнообразия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3"/>
        </w:trPr>
        <w:tc>
          <w:tcPr>
            <w:tcW w:w="3970" w:type="dxa"/>
          </w:tcPr>
          <w:p/>
        </w:tc>
        <w:tc>
          <w:tcPr>
            <w:tcW w:w="4679" w:type="dxa"/>
          </w:tcPr>
          <w:p/>
        </w:tc>
        <w:tc>
          <w:tcPr>
            <w:tcW w:w="993" w:type="dxa"/>
          </w:tcPr>
          <w:p/>
        </w:tc>
      </w:tr>
      <w:tr>
        <w:trPr>
          <w:trHeight w:hRule="exact" w:val="277.8312"/>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 ПК-1</w:t>
            </w:r>
          </w:p>
        </w:tc>
      </w:tr>
      <w:tr>
        <w:trPr>
          <w:trHeight w:hRule="exact" w:val="138.9152"/>
        </w:trPr>
        <w:tc>
          <w:tcPr>
            <w:tcW w:w="3970" w:type="dxa"/>
          </w:tcPr>
          <w:p/>
        </w:tc>
        <w:tc>
          <w:tcPr>
            <w:tcW w:w="4679" w:type="dxa"/>
          </w:tcPr>
          <w:p/>
        </w:tc>
        <w:tc>
          <w:tcPr>
            <w:tcW w:w="993" w:type="dxa"/>
          </w:tcPr>
          <w:p/>
        </w:tc>
      </w:tr>
      <w:tr>
        <w:trPr>
          <w:trHeight w:hRule="exact" w:val="1017.09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92.2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755.72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3961.3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дискутивно-полемической речи.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 Разновидности дискутивно-полемической речи (полемика,</w:t>
            </w:r>
          </w:p>
          <w:p>
            <w:pPr>
              <w:jc w:val="both"/>
              <w:spacing w:after="0" w:line="240" w:lineRule="auto"/>
              <w:rPr>
                <w:sz w:val="24"/>
                <w:szCs w:val="24"/>
              </w:rPr>
            </w:pPr>
            <w:r>
              <w:rPr>
                <w:rFonts w:ascii="Times New Roman" w:hAnsi="Times New Roman" w:cs="Times New Roman"/>
                <w:color w:val="#000000"/>
                <w:sz w:val="24"/>
                <w:szCs w:val="24"/>
              </w:rPr>
              <w:t> дискуссия, дебаты, диспут, прения, спор).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Речевой этикет и культура общения. Этикетные формулы речи. Национально-культурная</w:t>
            </w:r>
          </w:p>
          <w:p>
            <w:pPr>
              <w:jc w:val="both"/>
              <w:spacing w:after="0" w:line="240" w:lineRule="auto"/>
              <w:rPr>
                <w:sz w:val="24"/>
                <w:szCs w:val="24"/>
              </w:rPr>
            </w:pPr>
            <w:r>
              <w:rPr>
                <w:rFonts w:ascii="Times New Roman" w:hAnsi="Times New Roman" w:cs="Times New Roman"/>
                <w:color w:val="#000000"/>
                <w:sz w:val="24"/>
                <w:szCs w:val="24"/>
              </w:rPr>
              <w:t> специфика речевого поведения. Речевой этикет в педагогической деятельности. Этика</w:t>
            </w:r>
          </w:p>
          <w:p>
            <w:pPr>
              <w:jc w:val="both"/>
              <w:spacing w:after="0" w:line="240" w:lineRule="auto"/>
              <w:rPr>
                <w:sz w:val="24"/>
                <w:szCs w:val="24"/>
              </w:rPr>
            </w:pPr>
            <w:r>
              <w:rPr>
                <w:rFonts w:ascii="Times New Roman" w:hAnsi="Times New Roman" w:cs="Times New Roman"/>
                <w:color w:val="#000000"/>
                <w:sz w:val="24"/>
                <w:szCs w:val="24"/>
              </w:rPr>
              <w:t> педагогического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речевого жанра. Риторические жанры.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 Диалог как форма речи и основа педагогического общения.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 Жанры объяснительного и проблемного монолога,</w:t>
            </w:r>
          </w:p>
          <w:p>
            <w:pPr>
              <w:jc w:val="both"/>
              <w:spacing w:after="0" w:line="240" w:lineRule="auto"/>
              <w:rPr>
                <w:sz w:val="24"/>
                <w:szCs w:val="24"/>
              </w:rPr>
            </w:pPr>
            <w:r>
              <w:rPr>
                <w:rFonts w:ascii="Times New Roman" w:hAnsi="Times New Roman" w:cs="Times New Roman"/>
                <w:color w:val="#000000"/>
                <w:sz w:val="24"/>
                <w:szCs w:val="24"/>
              </w:rPr>
              <w:t>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 Педагогический дискурс. Анализ ситуаций педагогического дискурса.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Дискуссия в педагогическом общении.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дискутивно-полемической речи. 2. Диалог как форма речевого общения и основа</w:t>
            </w:r>
          </w:p>
          <w:p>
            <w:pPr>
              <w:jc w:val="both"/>
              <w:spacing w:after="0" w:line="240" w:lineRule="auto"/>
              <w:rPr>
                <w:sz w:val="24"/>
                <w:szCs w:val="24"/>
              </w:rPr>
            </w:pPr>
            <w:r>
              <w:rPr>
                <w:rFonts w:ascii="Times New Roman" w:hAnsi="Times New Roman" w:cs="Times New Roman"/>
                <w:color w:val="#000000"/>
                <w:sz w:val="24"/>
                <w:szCs w:val="24"/>
              </w:rPr>
              <w:t> дискутивно-полемической речи.</w:t>
            </w:r>
          </w:p>
          <w:p>
            <w:pPr>
              <w:jc w:val="both"/>
              <w:spacing w:after="0" w:line="240" w:lineRule="auto"/>
              <w:rPr>
                <w:sz w:val="24"/>
                <w:szCs w:val="24"/>
              </w:rPr>
            </w:pPr>
            <w:r>
              <w:rPr>
                <w:rFonts w:ascii="Times New Roman" w:hAnsi="Times New Roman" w:cs="Times New Roman"/>
                <w:color w:val="#000000"/>
                <w:sz w:val="24"/>
                <w:szCs w:val="24"/>
              </w:rPr>
              <w:t> 3. Разновидности дискутивно-полемической речи (полемика, дискуссия, дебаты, диспут, прения, спор).</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полемики (причины</w:t>
            </w:r>
          </w:p>
          <w:p>
            <w:pPr>
              <w:jc w:val="both"/>
              <w:spacing w:after="0" w:line="240" w:lineRule="auto"/>
              <w:rPr>
                <w:sz w:val="24"/>
                <w:szCs w:val="24"/>
              </w:rPr>
            </w:pPr>
            <w:r>
              <w:rPr>
                <w:rFonts w:ascii="Times New Roman" w:hAnsi="Times New Roman" w:cs="Times New Roman"/>
                <w:color w:val="#000000"/>
                <w:sz w:val="24"/>
                <w:szCs w:val="24"/>
              </w:rPr>
              <w:t> возникновения, типы полемики, функции, принципы).</w:t>
            </w:r>
          </w:p>
          <w:p>
            <w:pPr>
              <w:jc w:val="both"/>
              <w:spacing w:after="0" w:line="240" w:lineRule="auto"/>
              <w:rPr>
                <w:sz w:val="24"/>
                <w:szCs w:val="24"/>
              </w:rPr>
            </w:pPr>
            <w:r>
              <w:rPr>
                <w:rFonts w:ascii="Times New Roman" w:hAnsi="Times New Roman" w:cs="Times New Roman"/>
                <w:color w:val="#000000"/>
                <w:sz w:val="24"/>
                <w:szCs w:val="24"/>
              </w:rPr>
              <w:t> 5. Особенности спора (стратегии,</w:t>
            </w:r>
          </w:p>
          <w:p>
            <w:pPr>
              <w:jc w:val="both"/>
              <w:spacing w:after="0" w:line="240" w:lineRule="auto"/>
              <w:rPr>
                <w:sz w:val="24"/>
                <w:szCs w:val="24"/>
              </w:rPr>
            </w:pPr>
            <w:r>
              <w:rPr>
                <w:rFonts w:ascii="Times New Roman" w:hAnsi="Times New Roman" w:cs="Times New Roman"/>
                <w:color w:val="#000000"/>
                <w:sz w:val="24"/>
                <w:szCs w:val="24"/>
              </w:rPr>
              <w:t> тактики спора; полемические приѐмы, уловки; правила спора).</w:t>
            </w:r>
          </w:p>
          <w:p>
            <w:pPr>
              <w:jc w:val="both"/>
              <w:spacing w:after="0" w:line="240" w:lineRule="auto"/>
              <w:rPr>
                <w:sz w:val="24"/>
                <w:szCs w:val="24"/>
              </w:rPr>
            </w:pPr>
            <w:r>
              <w:rPr>
                <w:rFonts w:ascii="Times New Roman" w:hAnsi="Times New Roman" w:cs="Times New Roman"/>
                <w:color w:val="#000000"/>
                <w:sz w:val="24"/>
                <w:szCs w:val="24"/>
              </w:rPr>
              <w:t> 6. Методика проведения</w:t>
            </w:r>
          </w:p>
          <w:p>
            <w:pPr>
              <w:jc w:val="both"/>
              <w:spacing w:after="0" w:line="240" w:lineRule="auto"/>
              <w:rPr>
                <w:sz w:val="24"/>
                <w:szCs w:val="24"/>
              </w:rPr>
            </w:pPr>
            <w:r>
              <w:rPr>
                <w:rFonts w:ascii="Times New Roman" w:hAnsi="Times New Roman" w:cs="Times New Roman"/>
                <w:color w:val="#000000"/>
                <w:sz w:val="24"/>
                <w:szCs w:val="24"/>
              </w:rPr>
              <w:t> дискуссии. Подготовка и проведение дискуссии.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Речевой этикет в педагогической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Речевой этикет и культура общения.</w:t>
            </w:r>
          </w:p>
          <w:p>
            <w:pPr>
              <w:jc w:val="both"/>
              <w:spacing w:after="0" w:line="240" w:lineRule="auto"/>
              <w:rPr>
                <w:sz w:val="24"/>
                <w:szCs w:val="24"/>
              </w:rPr>
            </w:pPr>
            <w:r>
              <w:rPr>
                <w:rFonts w:ascii="Times New Roman" w:hAnsi="Times New Roman" w:cs="Times New Roman"/>
                <w:color w:val="#000000"/>
                <w:sz w:val="24"/>
                <w:szCs w:val="24"/>
              </w:rPr>
              <w:t> 2. Этикетные формулы речи.</w:t>
            </w:r>
          </w:p>
          <w:p>
            <w:pPr>
              <w:jc w:val="both"/>
              <w:spacing w:after="0" w:line="240" w:lineRule="auto"/>
              <w:rPr>
                <w:sz w:val="24"/>
                <w:szCs w:val="24"/>
              </w:rPr>
            </w:pPr>
            <w:r>
              <w:rPr>
                <w:rFonts w:ascii="Times New Roman" w:hAnsi="Times New Roman" w:cs="Times New Roman"/>
                <w:color w:val="#000000"/>
                <w:sz w:val="24"/>
                <w:szCs w:val="24"/>
              </w:rPr>
              <w:t> 3. Национально-культурная специфика речевого поведения.</w:t>
            </w:r>
          </w:p>
          <w:p>
            <w:pPr>
              <w:jc w:val="both"/>
              <w:spacing w:after="0" w:line="240" w:lineRule="auto"/>
              <w:rPr>
                <w:sz w:val="24"/>
                <w:szCs w:val="24"/>
              </w:rPr>
            </w:pPr>
            <w:r>
              <w:rPr>
                <w:rFonts w:ascii="Times New Roman" w:hAnsi="Times New Roman" w:cs="Times New Roman"/>
                <w:color w:val="#000000"/>
                <w:sz w:val="24"/>
                <w:szCs w:val="24"/>
              </w:rPr>
              <w:t> 4. Речевой этикет в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5. Этика педагогического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Профессиональные речевые жанры в педагогическом общении.</w:t>
            </w:r>
          </w:p>
        </w:tc>
      </w:tr>
      <w:tr>
        <w:trPr>
          <w:trHeight w:hRule="exact" w:val="3260.1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речевого жанра.</w:t>
            </w:r>
          </w:p>
          <w:p>
            <w:pPr>
              <w:jc w:val="both"/>
              <w:spacing w:after="0" w:line="240" w:lineRule="auto"/>
              <w:rPr>
                <w:sz w:val="24"/>
                <w:szCs w:val="24"/>
              </w:rPr>
            </w:pPr>
            <w:r>
              <w:rPr>
                <w:rFonts w:ascii="Times New Roman" w:hAnsi="Times New Roman" w:cs="Times New Roman"/>
                <w:color w:val="#000000"/>
                <w:sz w:val="24"/>
                <w:szCs w:val="24"/>
              </w:rPr>
              <w:t> 2. Риторические жанры.</w:t>
            </w:r>
          </w:p>
          <w:p>
            <w:pPr>
              <w:jc w:val="both"/>
              <w:spacing w:after="0" w:line="240" w:lineRule="auto"/>
              <w:rPr>
                <w:sz w:val="24"/>
                <w:szCs w:val="24"/>
              </w:rPr>
            </w:pPr>
            <w:r>
              <w:rPr>
                <w:rFonts w:ascii="Times New Roman" w:hAnsi="Times New Roman" w:cs="Times New Roman"/>
                <w:color w:val="#000000"/>
                <w:sz w:val="24"/>
                <w:szCs w:val="24"/>
              </w:rPr>
              <w:t> 3. Профессионально значимые для учителя</w:t>
            </w:r>
          </w:p>
          <w:p>
            <w:pPr>
              <w:jc w:val="both"/>
              <w:spacing w:after="0" w:line="240" w:lineRule="auto"/>
              <w:rPr>
                <w:sz w:val="24"/>
                <w:szCs w:val="24"/>
              </w:rPr>
            </w:pPr>
            <w:r>
              <w:rPr>
                <w:rFonts w:ascii="Times New Roman" w:hAnsi="Times New Roman" w:cs="Times New Roman"/>
                <w:color w:val="#000000"/>
                <w:sz w:val="24"/>
                <w:szCs w:val="24"/>
              </w:rPr>
              <w:t> речевые жанры.</w:t>
            </w:r>
          </w:p>
          <w:p>
            <w:pPr>
              <w:jc w:val="both"/>
              <w:spacing w:after="0" w:line="240" w:lineRule="auto"/>
              <w:rPr>
                <w:sz w:val="24"/>
                <w:szCs w:val="24"/>
              </w:rPr>
            </w:pPr>
            <w:r>
              <w:rPr>
                <w:rFonts w:ascii="Times New Roman" w:hAnsi="Times New Roman" w:cs="Times New Roman"/>
                <w:color w:val="#000000"/>
                <w:sz w:val="24"/>
                <w:szCs w:val="24"/>
              </w:rPr>
              <w:t> 4. Диалог как форма речи и основа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5. Особенности</w:t>
            </w:r>
          </w:p>
          <w:p>
            <w:pPr>
              <w:jc w:val="both"/>
              <w:spacing w:after="0" w:line="240" w:lineRule="auto"/>
              <w:rPr>
                <w:sz w:val="24"/>
                <w:szCs w:val="24"/>
              </w:rPr>
            </w:pPr>
            <w:r>
              <w:rPr>
                <w:rFonts w:ascii="Times New Roman" w:hAnsi="Times New Roman" w:cs="Times New Roman"/>
                <w:color w:val="#000000"/>
                <w:sz w:val="24"/>
                <w:szCs w:val="24"/>
              </w:rPr>
              <w:t> педагогического диалога.</w:t>
            </w:r>
          </w:p>
          <w:p>
            <w:pPr>
              <w:jc w:val="both"/>
              <w:spacing w:after="0" w:line="240" w:lineRule="auto"/>
              <w:rPr>
                <w:sz w:val="24"/>
                <w:szCs w:val="24"/>
              </w:rPr>
            </w:pPr>
            <w:r>
              <w:rPr>
                <w:rFonts w:ascii="Times New Roman" w:hAnsi="Times New Roman" w:cs="Times New Roman"/>
                <w:color w:val="#000000"/>
                <w:sz w:val="24"/>
                <w:szCs w:val="24"/>
              </w:rPr>
              <w:t> 6. Жанры объяснительного и проблемного монолога, педагогического совета, педагогической рецензии, обобщающей речи учителя.</w:t>
            </w:r>
          </w:p>
          <w:p>
            <w:pPr>
              <w:jc w:val="both"/>
              <w:spacing w:after="0" w:line="240" w:lineRule="auto"/>
              <w:rPr>
                <w:sz w:val="24"/>
                <w:szCs w:val="24"/>
              </w:rPr>
            </w:pPr>
            <w:r>
              <w:rPr>
                <w:rFonts w:ascii="Times New Roman" w:hAnsi="Times New Roman" w:cs="Times New Roman"/>
                <w:color w:val="#000000"/>
                <w:sz w:val="24"/>
                <w:szCs w:val="24"/>
              </w:rPr>
              <w:t> 7. Дидактическая беседа. Письменные высказывания, их особенности, основные жанры,</w:t>
            </w:r>
          </w:p>
          <w:p>
            <w:pPr>
              <w:jc w:val="both"/>
              <w:spacing w:after="0" w:line="240" w:lineRule="auto"/>
              <w:rPr>
                <w:sz w:val="24"/>
                <w:szCs w:val="24"/>
              </w:rPr>
            </w:pPr>
            <w:r>
              <w:rPr>
                <w:rFonts w:ascii="Times New Roman" w:hAnsi="Times New Roman" w:cs="Times New Roman"/>
                <w:color w:val="#000000"/>
                <w:sz w:val="24"/>
                <w:szCs w:val="24"/>
              </w:rPr>
              <w:t> приѐмы создания.</w:t>
            </w:r>
          </w:p>
          <w:p>
            <w:pPr>
              <w:jc w:val="both"/>
              <w:spacing w:after="0" w:line="240" w:lineRule="auto"/>
              <w:rPr>
                <w:sz w:val="24"/>
                <w:szCs w:val="24"/>
              </w:rPr>
            </w:pPr>
            <w:r>
              <w:rPr>
                <w:rFonts w:ascii="Times New Roman" w:hAnsi="Times New Roman" w:cs="Times New Roman"/>
                <w:color w:val="#000000"/>
                <w:sz w:val="24"/>
                <w:szCs w:val="24"/>
              </w:rPr>
              <w:t> 8. Педагогический дискурс. Анализ ситуаций педагогического дискурса.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626.80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53.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2024-2025_ФГОС3++2024_Бак-ЗФО-ПО2(НОиИЯ)(24)_plx_Речевые практики</dc:title>
  <dc:creator>FastReport.NET</dc:creator>
</cp:coreProperties>
</file>